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021CBD" w14:textId="09A1EE0B" w:rsidR="00FC6469" w:rsidRPr="00AB5E32" w:rsidRDefault="00FC6469" w:rsidP="00FC6469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AB5E32">
        <w:rPr>
          <w:rFonts w:ascii="Times New Roman" w:eastAsia="SimSun" w:hAnsi="Times New Roman"/>
          <w:b/>
          <w:sz w:val="24"/>
          <w:lang w:val="en-US" w:eastAsia="zh-CN"/>
        </w:rPr>
        <w:t>3GPP TSG RAN WG1 Meeting #86bis</w:t>
      </w:r>
      <w:r w:rsidRPr="00AB5E32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AB5E32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AB5E32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AB5E32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AB5E32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AB5E32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AB5E32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AB5E32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5868C9" w:rsidRPr="00AB5E32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Pr="00AB5E32">
        <w:rPr>
          <w:rFonts w:ascii="Times New Roman" w:eastAsia="SimSun" w:hAnsi="Times New Roman"/>
          <w:b/>
          <w:sz w:val="24"/>
          <w:lang w:val="en-US" w:eastAsia="zh-CN"/>
        </w:rPr>
        <w:t>R1-16</w:t>
      </w:r>
      <w:r w:rsidR="005868C9" w:rsidRPr="00AB5E32">
        <w:rPr>
          <w:rFonts w:ascii="Times New Roman" w:eastAsia="SimSun" w:hAnsi="Times New Roman"/>
          <w:b/>
          <w:sz w:val="24"/>
          <w:lang w:val="en-US" w:eastAsia="zh-CN"/>
        </w:rPr>
        <w:t>09907</w:t>
      </w:r>
    </w:p>
    <w:p w14:paraId="334C4612" w14:textId="77777777" w:rsidR="00FC6469" w:rsidRPr="00AB5E32" w:rsidRDefault="00FC6469" w:rsidP="00FC646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AB5E32">
        <w:rPr>
          <w:rFonts w:ascii="Times New Roman" w:eastAsia="SimSun" w:hAnsi="Times New Roman"/>
          <w:b/>
          <w:sz w:val="24"/>
          <w:lang w:val="en-US" w:eastAsia="zh-CN"/>
        </w:rPr>
        <w:t>Lisbon, Portugal 10th - 14th October 2016</w:t>
      </w:r>
    </w:p>
    <w:p w14:paraId="0C2BEEAB" w14:textId="77777777" w:rsidR="00FC6469" w:rsidRPr="00AB5E32" w:rsidRDefault="00FC6469" w:rsidP="00FC646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</w:p>
    <w:p w14:paraId="6FA141D4" w14:textId="19A6AE1B" w:rsidR="00FA20F7" w:rsidRPr="00AB5E32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AB5E32">
        <w:rPr>
          <w:rFonts w:ascii="Times New Roman" w:hAnsi="Times New Roman"/>
          <w:b/>
          <w:bCs/>
          <w:sz w:val="24"/>
          <w:lang w:val="en-US"/>
        </w:rPr>
        <w:t>Agenda Item:</w:t>
      </w:r>
      <w:r w:rsidRPr="00AB5E32">
        <w:rPr>
          <w:rFonts w:ascii="Times New Roman" w:hAnsi="Times New Roman"/>
          <w:b/>
          <w:bCs/>
          <w:sz w:val="24"/>
          <w:lang w:val="en-US"/>
        </w:rPr>
        <w:tab/>
      </w:r>
      <w:r w:rsidR="00E246F8" w:rsidRPr="00AB5E32">
        <w:rPr>
          <w:rFonts w:ascii="Times New Roman" w:hAnsi="Times New Roman"/>
          <w:b/>
          <w:bCs/>
          <w:sz w:val="24"/>
          <w:lang w:val="en-US"/>
        </w:rPr>
        <w:t>8.</w:t>
      </w:r>
      <w:r w:rsidR="005D69BE" w:rsidRPr="00AB5E32">
        <w:rPr>
          <w:rFonts w:ascii="Times New Roman" w:hAnsi="Times New Roman"/>
          <w:b/>
          <w:bCs/>
          <w:sz w:val="24"/>
          <w:lang w:val="en-US"/>
        </w:rPr>
        <w:t>1.</w:t>
      </w:r>
      <w:r w:rsidR="00A346DA" w:rsidRPr="00AB5E32">
        <w:rPr>
          <w:rFonts w:ascii="Times New Roman" w:hAnsi="Times New Roman"/>
          <w:b/>
          <w:bCs/>
          <w:sz w:val="24"/>
          <w:lang w:val="en-US"/>
        </w:rPr>
        <w:t>4</w:t>
      </w:r>
      <w:r w:rsidR="00EB1550" w:rsidRPr="00AB5E32">
        <w:rPr>
          <w:rFonts w:ascii="Times New Roman" w:hAnsi="Times New Roman"/>
          <w:b/>
          <w:bCs/>
          <w:sz w:val="24"/>
          <w:lang w:val="en-US"/>
        </w:rPr>
        <w:t>.</w:t>
      </w:r>
      <w:r w:rsidR="00A346DA" w:rsidRPr="00AB5E32">
        <w:rPr>
          <w:rFonts w:ascii="Times New Roman" w:hAnsi="Times New Roman"/>
          <w:b/>
          <w:bCs/>
          <w:sz w:val="24"/>
          <w:lang w:val="en-US"/>
        </w:rPr>
        <w:t>3</w:t>
      </w:r>
    </w:p>
    <w:p w14:paraId="186753AF" w14:textId="77777777" w:rsidR="00FA20F7" w:rsidRPr="00AB5E32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AB5E32">
        <w:rPr>
          <w:b/>
          <w:bCs/>
          <w:sz w:val="24"/>
          <w:lang w:val="en-US"/>
        </w:rPr>
        <w:t>Source:</w:t>
      </w:r>
      <w:r w:rsidRPr="00AB5E32">
        <w:rPr>
          <w:b/>
          <w:bCs/>
          <w:sz w:val="24"/>
          <w:lang w:val="en-US"/>
        </w:rPr>
        <w:tab/>
        <w:t>InterDigital</w:t>
      </w:r>
      <w:r w:rsidR="00E17A3B" w:rsidRPr="00AB5E32">
        <w:rPr>
          <w:b/>
          <w:bCs/>
          <w:sz w:val="24"/>
          <w:lang w:val="en-US"/>
        </w:rPr>
        <w:t xml:space="preserve"> Communications</w:t>
      </w:r>
    </w:p>
    <w:p w14:paraId="4F02292E" w14:textId="024BED60" w:rsidR="00FA20F7" w:rsidRPr="00AB5E32" w:rsidRDefault="00FA20F7" w:rsidP="00FA20F7">
      <w:pPr>
        <w:ind w:left="1985" w:hanging="1985"/>
        <w:rPr>
          <w:b/>
          <w:bCs/>
          <w:lang w:val="en-US"/>
        </w:rPr>
      </w:pPr>
      <w:r w:rsidRPr="00AB5E32">
        <w:rPr>
          <w:b/>
          <w:bCs/>
          <w:sz w:val="24"/>
          <w:lang w:val="en-US"/>
        </w:rPr>
        <w:t>Title:</w:t>
      </w:r>
      <w:r w:rsidRPr="00AB5E32">
        <w:rPr>
          <w:b/>
          <w:bCs/>
          <w:sz w:val="24"/>
          <w:lang w:val="en-US"/>
        </w:rPr>
        <w:tab/>
      </w:r>
      <w:r w:rsidR="00964945" w:rsidRPr="00AB5E32">
        <w:rPr>
          <w:b/>
          <w:bCs/>
          <w:sz w:val="24"/>
          <w:lang w:val="en-US"/>
        </w:rPr>
        <w:t>Consideration</w:t>
      </w:r>
      <w:r w:rsidR="00EB1550" w:rsidRPr="00AB5E32">
        <w:rPr>
          <w:b/>
          <w:bCs/>
          <w:sz w:val="24"/>
          <w:lang w:val="en-US"/>
        </w:rPr>
        <w:t xml:space="preserve"> of </w:t>
      </w:r>
      <w:r w:rsidR="00745AB3" w:rsidRPr="00AB5E32">
        <w:rPr>
          <w:b/>
          <w:bCs/>
          <w:sz w:val="24"/>
          <w:lang w:val="en-US"/>
        </w:rPr>
        <w:t xml:space="preserve">Short </w:t>
      </w:r>
      <w:proofErr w:type="spellStart"/>
      <w:r w:rsidR="00EB1550" w:rsidRPr="00AB5E32">
        <w:rPr>
          <w:b/>
          <w:bCs/>
          <w:sz w:val="24"/>
          <w:lang w:val="en-US"/>
        </w:rPr>
        <w:t>Blocklength</w:t>
      </w:r>
      <w:proofErr w:type="spellEnd"/>
      <w:r w:rsidR="00EB1550" w:rsidRPr="00AB5E32">
        <w:rPr>
          <w:b/>
          <w:bCs/>
          <w:sz w:val="24"/>
          <w:lang w:val="en-US"/>
        </w:rPr>
        <w:t xml:space="preserve"> for CQI Feedback</w:t>
      </w:r>
      <w:r w:rsidR="00060933" w:rsidRPr="00AB5E32">
        <w:rPr>
          <w:b/>
          <w:bCs/>
          <w:sz w:val="24"/>
          <w:lang w:val="en-US"/>
        </w:rPr>
        <w:t xml:space="preserve"> </w:t>
      </w:r>
      <w:r w:rsidR="00A346DA" w:rsidRPr="00AB5E32">
        <w:rPr>
          <w:b/>
          <w:bCs/>
          <w:sz w:val="24"/>
          <w:lang w:val="en-US"/>
        </w:rPr>
        <w:t xml:space="preserve">in </w:t>
      </w:r>
      <w:r w:rsidR="00060933" w:rsidRPr="00AB5E32">
        <w:rPr>
          <w:b/>
          <w:bCs/>
          <w:sz w:val="24"/>
          <w:lang w:val="en-US"/>
        </w:rPr>
        <w:t>NR</w:t>
      </w:r>
      <w:r w:rsidR="00EB1550" w:rsidRPr="00AB5E32">
        <w:rPr>
          <w:b/>
          <w:bCs/>
          <w:sz w:val="24"/>
          <w:lang w:val="en-US"/>
        </w:rPr>
        <w:t xml:space="preserve"> </w:t>
      </w:r>
    </w:p>
    <w:p w14:paraId="20F2A3ED" w14:textId="48C0346C" w:rsidR="00FA20F7" w:rsidRPr="00AB5E32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AB5E32">
        <w:rPr>
          <w:b/>
          <w:bCs/>
          <w:sz w:val="24"/>
          <w:lang w:val="en-US"/>
        </w:rPr>
        <w:t>Document for:</w:t>
      </w:r>
      <w:r w:rsidRPr="00AB5E32">
        <w:rPr>
          <w:b/>
          <w:bCs/>
          <w:sz w:val="24"/>
          <w:lang w:val="en-US"/>
        </w:rPr>
        <w:tab/>
        <w:t>Discussion</w:t>
      </w:r>
      <w:r w:rsidR="00CD15BB" w:rsidRPr="00AB5E32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AB5E32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AB5E32">
        <w:rPr>
          <w:rFonts w:ascii="Times New Roman" w:hAnsi="Times New Roman"/>
          <w:b/>
          <w:sz w:val="32"/>
          <w:szCs w:val="32"/>
        </w:rPr>
        <w:t>Introduction</w:t>
      </w:r>
    </w:p>
    <w:p w14:paraId="57A0B417" w14:textId="06502B7F" w:rsidR="00540565" w:rsidRPr="00AB5E32" w:rsidRDefault="00453980" w:rsidP="006505B9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AB5E32">
        <w:rPr>
          <w:szCs w:val="22"/>
        </w:rPr>
        <w:t>In RAN</w:t>
      </w:r>
      <w:r w:rsidR="004555E3" w:rsidRPr="00AB5E32">
        <w:rPr>
          <w:szCs w:val="22"/>
        </w:rPr>
        <w:t>1</w:t>
      </w:r>
      <w:r w:rsidRPr="00AB5E32">
        <w:rPr>
          <w:szCs w:val="22"/>
        </w:rPr>
        <w:t xml:space="preserve"> #</w:t>
      </w:r>
      <w:r w:rsidR="008E6321" w:rsidRPr="00AB5E32">
        <w:rPr>
          <w:szCs w:val="22"/>
        </w:rPr>
        <w:t>86</w:t>
      </w:r>
      <w:r w:rsidR="005266DD" w:rsidRPr="00AB5E32">
        <w:rPr>
          <w:szCs w:val="22"/>
        </w:rPr>
        <w:t xml:space="preserve"> Meeting </w:t>
      </w:r>
      <w:r w:rsidR="005266DD" w:rsidRPr="00AB5E32">
        <w:rPr>
          <w:szCs w:val="22"/>
        </w:rPr>
        <w:fldChar w:fldCharType="begin"/>
      </w:r>
      <w:r w:rsidR="005266DD" w:rsidRPr="00AB5E32">
        <w:rPr>
          <w:szCs w:val="22"/>
        </w:rPr>
        <w:instrText xml:space="preserve"> REF _Ref455734493 \r \h </w:instrText>
      </w:r>
      <w:r w:rsidR="006505B9" w:rsidRPr="00AB5E32">
        <w:rPr>
          <w:szCs w:val="22"/>
        </w:rPr>
        <w:instrText xml:space="preserve"> \* MERGEFORMAT </w:instrText>
      </w:r>
      <w:r w:rsidR="005266DD" w:rsidRPr="00AB5E32">
        <w:rPr>
          <w:szCs w:val="22"/>
        </w:rPr>
      </w:r>
      <w:r w:rsidR="005266DD" w:rsidRPr="00AB5E32">
        <w:rPr>
          <w:szCs w:val="22"/>
        </w:rPr>
        <w:fldChar w:fldCharType="separate"/>
      </w:r>
      <w:r w:rsidR="007D56A7" w:rsidRPr="00AB5E32">
        <w:rPr>
          <w:szCs w:val="22"/>
        </w:rPr>
        <w:t>[1]</w:t>
      </w:r>
      <w:r w:rsidR="005266DD" w:rsidRPr="00AB5E32">
        <w:rPr>
          <w:szCs w:val="22"/>
        </w:rPr>
        <w:fldChar w:fldCharType="end"/>
      </w:r>
      <w:r w:rsidR="005266DD" w:rsidRPr="00AB5E32">
        <w:rPr>
          <w:szCs w:val="22"/>
        </w:rPr>
        <w:t>,</w:t>
      </w:r>
      <w:r w:rsidR="00540565" w:rsidRPr="00AB5E32">
        <w:rPr>
          <w:szCs w:val="22"/>
        </w:rPr>
        <w:t xml:space="preserve"> it was agreed that “</w:t>
      </w:r>
      <w:r w:rsidR="00540565" w:rsidRPr="00AB5E32">
        <w:rPr>
          <w:rFonts w:eastAsia="MS Mincho"/>
          <w:lang w:val="en-US" w:eastAsia="ja-JP"/>
        </w:rPr>
        <w:t>The implicit CSI feedback methods should be studied in NR” and that “CSI measurement and reporting with the following components should be studied in NR”.</w:t>
      </w:r>
      <w:r w:rsidR="00571AC0" w:rsidRPr="00AB5E32">
        <w:rPr>
          <w:rFonts w:eastAsia="MS Mincho"/>
          <w:lang w:val="en-US" w:eastAsia="ja-JP"/>
        </w:rPr>
        <w:t xml:space="preserve"> </w:t>
      </w:r>
      <w:r w:rsidR="00A53915" w:rsidRPr="00AB5E32">
        <w:rPr>
          <w:rFonts w:eastAsia="MS Mincho"/>
          <w:lang w:val="en-US" w:eastAsia="ja-JP"/>
        </w:rPr>
        <w:t>LTE</w:t>
      </w:r>
      <w:r w:rsidR="00571AC0" w:rsidRPr="00AB5E32">
        <w:rPr>
          <w:rFonts w:eastAsia="MS Mincho"/>
          <w:lang w:val="en-US" w:eastAsia="ja-JP"/>
        </w:rPr>
        <w:t xml:space="preserve"> standards use</w:t>
      </w:r>
      <w:r w:rsidR="00DB5333" w:rsidRPr="00AB5E32">
        <w:rPr>
          <w:rFonts w:eastAsia="MS Mincho"/>
          <w:lang w:val="en-US" w:eastAsia="ja-JP"/>
        </w:rPr>
        <w:t xml:space="preserve">s </w:t>
      </w:r>
      <w:r w:rsidR="00540565" w:rsidRPr="00AB5E32">
        <w:rPr>
          <w:rFonts w:eastAsia="MS Mincho"/>
          <w:lang w:val="en-US" w:eastAsia="ja-JP"/>
        </w:rPr>
        <w:t>impli</w:t>
      </w:r>
      <w:r w:rsidR="00A53915" w:rsidRPr="00AB5E32">
        <w:rPr>
          <w:rFonts w:eastAsia="MS Mincho"/>
          <w:lang w:val="en-US" w:eastAsia="ja-JP"/>
        </w:rPr>
        <w:t xml:space="preserve">cit CSI feedback </w:t>
      </w:r>
      <w:r w:rsidR="00571AC0" w:rsidRPr="00AB5E32">
        <w:rPr>
          <w:rFonts w:eastAsia="MS Mincho"/>
          <w:lang w:val="en-US" w:eastAsia="ja-JP"/>
        </w:rPr>
        <w:t>which</w:t>
      </w:r>
      <w:r w:rsidR="00540565" w:rsidRPr="00AB5E32">
        <w:rPr>
          <w:rFonts w:eastAsia="MS Mincho"/>
          <w:lang w:val="en-US" w:eastAsia="ja-JP"/>
        </w:rPr>
        <w:t xml:space="preserve"> includes Rank Indicator (RI), Precoding Matrix Indicator (PMI)</w:t>
      </w:r>
      <w:r w:rsidR="00DB5333" w:rsidRPr="00AB5E32">
        <w:rPr>
          <w:rFonts w:eastAsia="MS Mincho"/>
          <w:lang w:val="en-US" w:eastAsia="ja-JP"/>
        </w:rPr>
        <w:t xml:space="preserve">, </w:t>
      </w:r>
      <w:r w:rsidR="00540565" w:rsidRPr="00AB5E32">
        <w:rPr>
          <w:rFonts w:eastAsia="MS Mincho"/>
          <w:lang w:val="en-US" w:eastAsia="ja-JP"/>
        </w:rPr>
        <w:t>Channel Quality Indicator (CQI)</w:t>
      </w:r>
      <w:r w:rsidR="00FA11BA" w:rsidRPr="00AB5E32">
        <w:rPr>
          <w:rFonts w:eastAsia="MS Mincho"/>
          <w:lang w:val="en-US" w:eastAsia="ja-JP"/>
        </w:rPr>
        <w:t>, Precod</w:t>
      </w:r>
      <w:r w:rsidR="00FA11BA" w:rsidRPr="00AB5E32">
        <w:rPr>
          <w:rFonts w:eastAsia="MS Mincho"/>
          <w:lang w:val="en-US" w:eastAsia="ja-JP"/>
        </w:rPr>
        <w:lastRenderedPageBreak/>
        <w:t xml:space="preserve">ing Type Indicator (PTI), and CSI-RS Resource Indicator (CRI) </w:t>
      </w:r>
      <w:r w:rsidR="00B913BE" w:rsidRPr="00AB5E32">
        <w:rPr>
          <w:rFonts w:eastAsia="MS Mincho"/>
          <w:lang w:val="en-US" w:eastAsia="ja-JP"/>
        </w:rPr>
        <w:t>[2]</w:t>
      </w:r>
      <w:r w:rsidR="00540565" w:rsidRPr="00AB5E32">
        <w:rPr>
          <w:rFonts w:eastAsia="MS Mincho"/>
          <w:lang w:val="en-US" w:eastAsia="ja-JP"/>
        </w:rPr>
        <w:t>. The focus of this discussion is on CQI</w:t>
      </w:r>
      <w:r w:rsidR="00F2247F" w:rsidRPr="00AB5E32">
        <w:rPr>
          <w:rFonts w:eastAsia="MS Mincho"/>
          <w:lang w:val="en-US" w:eastAsia="ja-JP"/>
        </w:rPr>
        <w:t xml:space="preserve"> feedback. For the NR, the information blocklength can vary in a wide range. For example, the information blocklengths (in bits) of interests suggested for evaluation for URLLC</w:t>
      </w:r>
      <w:r w:rsidR="00780371" w:rsidRPr="00AB5E32">
        <w:rPr>
          <w:rFonts w:eastAsia="MS Mincho"/>
          <w:lang w:val="en-US" w:eastAsia="ja-JP"/>
        </w:rPr>
        <w:t xml:space="preserve"> and mMTC</w:t>
      </w:r>
      <w:r w:rsidR="00F2247F" w:rsidRPr="00AB5E32">
        <w:rPr>
          <w:rFonts w:eastAsia="MS Mincho"/>
          <w:lang w:val="en-US" w:eastAsia="ja-JP"/>
        </w:rPr>
        <w:t xml:space="preserve"> are 20, 40, 200, 600, 1000 and 2000</w:t>
      </w:r>
      <w:r w:rsidR="009E04C1" w:rsidRPr="00AB5E32">
        <w:rPr>
          <w:rFonts w:eastAsia="MS Mincho"/>
          <w:lang w:val="en-US" w:eastAsia="ja-JP"/>
        </w:rPr>
        <w:t xml:space="preserve"> </w:t>
      </w:r>
      <w:r w:rsidR="005C0353" w:rsidRPr="00AB5E32">
        <w:rPr>
          <w:rFonts w:eastAsia="MS Mincho"/>
          <w:lang w:val="en-US" w:eastAsia="ja-JP"/>
        </w:rPr>
        <w:t xml:space="preserve">in </w:t>
      </w:r>
      <w:r w:rsidR="009E04C1" w:rsidRPr="00AB5E32">
        <w:rPr>
          <w:rFonts w:eastAsia="MS Mincho"/>
          <w:lang w:val="en-US" w:eastAsia="ja-JP"/>
        </w:rPr>
        <w:t>[</w:t>
      </w:r>
      <w:r w:rsidR="00745AB3" w:rsidRPr="00AB5E32">
        <w:rPr>
          <w:rFonts w:eastAsia="MS Mincho"/>
          <w:lang w:val="en-US" w:eastAsia="ja-JP"/>
        </w:rPr>
        <w:t>3</w:t>
      </w:r>
      <w:r w:rsidR="009E04C1" w:rsidRPr="00AB5E32">
        <w:rPr>
          <w:rFonts w:eastAsia="MS Mincho"/>
          <w:lang w:val="en-US" w:eastAsia="ja-JP"/>
        </w:rPr>
        <w:t>]</w:t>
      </w:r>
      <w:r w:rsidR="005C0353" w:rsidRPr="00AB5E32">
        <w:rPr>
          <w:rFonts w:eastAsia="MS Mincho"/>
          <w:lang w:val="en-US" w:eastAsia="ja-JP"/>
        </w:rPr>
        <w:t xml:space="preserve">, and the information blocklengths for evaluation for mMTC are </w:t>
      </w:r>
      <w:r w:rsidR="003D0F0C" w:rsidRPr="00AB5E32">
        <w:t>16, 32, 64, 128, 256</w:t>
      </w:r>
      <w:r w:rsidR="005C0353" w:rsidRPr="00AB5E32">
        <w:t xml:space="preserve"> and 512 in [7].</w:t>
      </w:r>
      <w:r w:rsidR="00A53915" w:rsidRPr="00AB5E32">
        <w:rPr>
          <w:rFonts w:eastAsia="MS Mincho"/>
          <w:lang w:val="en-US" w:eastAsia="ja-JP"/>
        </w:rPr>
        <w:t xml:space="preserve"> It has been shown that a short information blocklength has a significant impact on the channel code performance for both practical channel codes [</w:t>
      </w:r>
      <w:r w:rsidR="00745AB3" w:rsidRPr="00AB5E32">
        <w:rPr>
          <w:rFonts w:eastAsia="MS Mincho"/>
          <w:lang w:val="en-US" w:eastAsia="ja-JP"/>
        </w:rPr>
        <w:t>4</w:t>
      </w:r>
      <w:r w:rsidR="00A53915" w:rsidRPr="00AB5E32">
        <w:rPr>
          <w:rFonts w:eastAsia="MS Mincho"/>
          <w:lang w:val="en-US" w:eastAsia="ja-JP"/>
        </w:rPr>
        <w:t>] and for ideal channel codes [</w:t>
      </w:r>
      <w:r w:rsidR="00745AB3" w:rsidRPr="00AB5E32">
        <w:rPr>
          <w:rFonts w:eastAsia="MS Mincho"/>
          <w:lang w:val="en-US" w:eastAsia="ja-JP"/>
        </w:rPr>
        <w:t>5</w:t>
      </w:r>
      <w:r w:rsidR="00A53915" w:rsidRPr="00AB5E32">
        <w:rPr>
          <w:rFonts w:eastAsia="MS Mincho"/>
          <w:lang w:val="en-US" w:eastAsia="ja-JP"/>
        </w:rPr>
        <w:t>]. Therefore, in order to maintain the same performance (e.g., the block error rate or BLER)</w:t>
      </w:r>
      <w:r w:rsidR="00DB5333" w:rsidRPr="00AB5E32">
        <w:rPr>
          <w:rFonts w:eastAsia="MS Mincho"/>
          <w:lang w:val="en-US" w:eastAsia="ja-JP"/>
        </w:rPr>
        <w:t xml:space="preserve"> in scenarios where the information blocklength could be short</w:t>
      </w:r>
      <w:r w:rsidR="00A53915" w:rsidRPr="00AB5E32">
        <w:rPr>
          <w:rFonts w:eastAsia="MS Mincho"/>
          <w:lang w:val="en-US" w:eastAsia="ja-JP"/>
        </w:rPr>
        <w:t xml:space="preserve">, </w:t>
      </w:r>
      <w:r w:rsidR="00571AC0" w:rsidRPr="00AB5E32">
        <w:rPr>
          <w:rFonts w:eastAsia="MS Mincho"/>
          <w:lang w:val="en-US" w:eastAsia="ja-JP"/>
        </w:rPr>
        <w:t xml:space="preserve">the UE needs to consider the impact of the information blocklength when feeding back the CQI.  </w:t>
      </w:r>
      <w:r w:rsidR="00A53915" w:rsidRPr="00AB5E32">
        <w:rPr>
          <w:rFonts w:eastAsia="MS Mincho"/>
          <w:lang w:val="en-US" w:eastAsia="ja-JP"/>
        </w:rPr>
        <w:t xml:space="preserve">   </w:t>
      </w:r>
      <w:r w:rsidR="009E04C1" w:rsidRPr="00AB5E32">
        <w:rPr>
          <w:rFonts w:eastAsia="MS Mincho"/>
          <w:lang w:val="en-US" w:eastAsia="ja-JP"/>
        </w:rPr>
        <w:t xml:space="preserve"> </w:t>
      </w:r>
      <w:r w:rsidR="00F2247F" w:rsidRPr="00AB5E32">
        <w:rPr>
          <w:rFonts w:eastAsia="MS Mincho"/>
          <w:lang w:val="en-US" w:eastAsia="ja-JP"/>
        </w:rPr>
        <w:t xml:space="preserve">  </w:t>
      </w:r>
      <w:r w:rsidR="00540565" w:rsidRPr="00AB5E32">
        <w:rPr>
          <w:rFonts w:eastAsia="MS Mincho"/>
          <w:lang w:val="en-US" w:eastAsia="ja-JP"/>
        </w:rPr>
        <w:t xml:space="preserve">  </w:t>
      </w:r>
    </w:p>
    <w:p w14:paraId="12579F8C" w14:textId="30E18799" w:rsidR="00FA007C" w:rsidRPr="00AB5E32" w:rsidRDefault="005266DD" w:rsidP="004E1513">
      <w:pPr>
        <w:rPr>
          <w:szCs w:val="22"/>
        </w:rPr>
      </w:pPr>
      <w:r w:rsidRPr="00AB5E32">
        <w:rPr>
          <w:szCs w:val="22"/>
        </w:rPr>
        <w:t xml:space="preserve"> </w:t>
      </w:r>
    </w:p>
    <w:p w14:paraId="411E7BBD" w14:textId="274CE710" w:rsidR="00085A01" w:rsidRPr="00AB5E32" w:rsidRDefault="00A378F1" w:rsidP="00085A0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  <w:lang w:val="en-US"/>
        </w:rPr>
      </w:pPr>
      <w:r w:rsidRPr="00AB5E32">
        <w:rPr>
          <w:rFonts w:ascii="Times New Roman" w:hAnsi="Times New Roman"/>
          <w:b/>
          <w:sz w:val="32"/>
          <w:szCs w:val="32"/>
        </w:rPr>
        <w:lastRenderedPageBreak/>
        <w:t>Consideration of C</w:t>
      </w:r>
      <w:r w:rsidR="00602AB1" w:rsidRPr="00AB5E32">
        <w:rPr>
          <w:rFonts w:ascii="Times New Roman" w:hAnsi="Times New Roman"/>
          <w:b/>
          <w:sz w:val="32"/>
          <w:szCs w:val="32"/>
        </w:rPr>
        <w:t xml:space="preserve">QI feedback </w:t>
      </w:r>
      <w:r w:rsidR="00BF241A" w:rsidRPr="00AB5E32">
        <w:rPr>
          <w:rFonts w:ascii="Times New Roman" w:hAnsi="Times New Roman"/>
          <w:b/>
          <w:sz w:val="32"/>
          <w:szCs w:val="32"/>
        </w:rPr>
        <w:t>in NR</w:t>
      </w:r>
    </w:p>
    <w:p w14:paraId="63CF8E50" w14:textId="76599D69" w:rsidR="008A0B24" w:rsidRPr="00AB5E32" w:rsidRDefault="00745AB3" w:rsidP="008A0B24">
      <w:pPr>
        <w:rPr>
          <w:szCs w:val="22"/>
          <w:lang w:eastAsia="sv-SE"/>
        </w:rPr>
      </w:pPr>
      <w:r w:rsidRPr="00AB5E32">
        <w:rPr>
          <w:szCs w:val="22"/>
          <w:lang w:eastAsia="sv-SE"/>
        </w:rPr>
        <w:t xml:space="preserve">In LTE, </w:t>
      </w:r>
      <w:r w:rsidR="00E15BC2" w:rsidRPr="00AB5E32">
        <w:rPr>
          <w:szCs w:val="22"/>
          <w:lang w:eastAsia="sv-SE"/>
        </w:rPr>
        <w:t xml:space="preserve">the UE reports the CQI corresponding to the </w:t>
      </w:r>
      <w:r w:rsidR="00D40F31" w:rsidRPr="00AB5E32">
        <w:rPr>
          <w:szCs w:val="22"/>
          <w:lang w:eastAsia="sv-SE"/>
        </w:rPr>
        <w:t>highest-</w:t>
      </w:r>
      <w:r w:rsidR="00E15BC2" w:rsidRPr="00AB5E32">
        <w:rPr>
          <w:szCs w:val="22"/>
          <w:lang w:eastAsia="sv-SE"/>
        </w:rPr>
        <w:t xml:space="preserve">order MCS that, if used with the recommended RI and PMI, </w:t>
      </w:r>
      <w:r w:rsidR="00A378F1" w:rsidRPr="00AB5E32">
        <w:rPr>
          <w:szCs w:val="22"/>
          <w:lang w:eastAsia="sv-SE"/>
        </w:rPr>
        <w:t>achieves a BLER of at most 10% [2].</w:t>
      </w:r>
      <w:r w:rsidR="00E15BC2" w:rsidRPr="00AB5E32">
        <w:rPr>
          <w:szCs w:val="22"/>
          <w:lang w:eastAsia="sv-SE"/>
        </w:rPr>
        <w:t xml:space="preserve"> One of the benefits of using CQI instead of the the signal-to-interference-plus-noise </w:t>
      </w:r>
      <w:r w:rsidR="00D40F31" w:rsidRPr="00AB5E32">
        <w:rPr>
          <w:szCs w:val="22"/>
          <w:lang w:eastAsia="sv-SE"/>
        </w:rPr>
        <w:t xml:space="preserve">ratio </w:t>
      </w:r>
      <w:r w:rsidR="00E15BC2" w:rsidRPr="00AB5E32">
        <w:rPr>
          <w:szCs w:val="22"/>
          <w:lang w:eastAsia="sv-SE"/>
        </w:rPr>
        <w:t>(SINR) is that the UE can take</w:t>
      </w:r>
      <w:r w:rsidRPr="00AB5E32">
        <w:rPr>
          <w:szCs w:val="22"/>
          <w:lang w:eastAsia="sv-SE"/>
        </w:rPr>
        <w:t xml:space="preserve"> into account the capability of its receiver</w:t>
      </w:r>
      <w:r w:rsidR="00A378F1" w:rsidRPr="00AB5E32">
        <w:rPr>
          <w:szCs w:val="22"/>
          <w:lang w:eastAsia="sv-SE"/>
        </w:rPr>
        <w:t xml:space="preserve"> [6]</w:t>
      </w:r>
      <w:r w:rsidR="00E15BC2" w:rsidRPr="00AB5E32">
        <w:rPr>
          <w:szCs w:val="22"/>
          <w:lang w:eastAsia="sv-SE"/>
        </w:rPr>
        <w:t xml:space="preserve">. Another benefit of using CQI instead of SINR is that it simplifies the testing of devices [6]. For these reasons, CQI </w:t>
      </w:r>
      <w:r w:rsidR="00A378F1" w:rsidRPr="00AB5E32">
        <w:rPr>
          <w:szCs w:val="22"/>
          <w:lang w:eastAsia="sv-SE"/>
        </w:rPr>
        <w:t>may play an important role in CSI feedback in NR as it has done in LTE.</w:t>
      </w:r>
    </w:p>
    <w:p w14:paraId="7661EF09" w14:textId="22D22560" w:rsidR="006A7C9A" w:rsidRPr="00AB5E32" w:rsidRDefault="00602AB1" w:rsidP="00602AB1">
      <w:r w:rsidRPr="00AB5E32">
        <w:t xml:space="preserve">The current LTE standard [2] does not consider the effect of short information blocklength on the channel code performance. To see this, we plot </w:t>
      </w:r>
      <w:r w:rsidR="006A7C9A" w:rsidRPr="00AB5E32">
        <w:t xml:space="preserve">in </w:t>
      </w:r>
      <w:r w:rsidR="006A7C9A" w:rsidRPr="00AB5E32">
        <w:rPr>
          <w:b/>
        </w:rPr>
        <w:t>Figure 1</w:t>
      </w:r>
      <w:r w:rsidR="006A7C9A" w:rsidRPr="00AB5E32">
        <w:t xml:space="preserve"> </w:t>
      </w:r>
      <w:r w:rsidRPr="00AB5E32">
        <w:t>the coding rate as a function of information blocklength</w:t>
      </w:r>
      <w:r w:rsidR="0037408D" w:rsidRPr="00AB5E32">
        <w:t xml:space="preserve"> (i.e., transport block size)</w:t>
      </w:r>
      <w:r w:rsidRPr="00AB5E32">
        <w:t xml:space="preserve"> based on </w:t>
      </w:r>
      <w:r w:rsidR="0037408D" w:rsidRPr="00AB5E32">
        <w:t>the TBS table</w:t>
      </w:r>
      <w:r w:rsidRPr="00AB5E32">
        <w:t xml:space="preserve"> in LTE [2]</w:t>
      </w:r>
      <w:r w:rsidR="006A7C9A" w:rsidRPr="00AB5E32">
        <w:t xml:space="preserve"> for 5 MCS indices (I_MCS’s)</w:t>
      </w:r>
      <w:r w:rsidRPr="00AB5E32">
        <w:t xml:space="preserve">. </w:t>
      </w:r>
      <w:r w:rsidR="00D40F31" w:rsidRPr="00AB5E32">
        <w:t xml:space="preserve">We assume that the CRC is 24 bits, and that 90% of the resource elements are used for transmitting coded bits and the </w:t>
      </w:r>
      <w:r w:rsidR="00D40F31" w:rsidRPr="00AB5E32">
        <w:lastRenderedPageBreak/>
        <w:t xml:space="preserve">remaining 10% for other purposes such as reference signals and broadcast data. </w:t>
      </w:r>
      <w:r w:rsidRPr="00AB5E32">
        <w:t xml:space="preserve">It is clear that the coding rates for different blocklengths for a given MCS do not </w:t>
      </w:r>
      <w:r w:rsidR="00D40F31" w:rsidRPr="00AB5E32">
        <w:t>differ</w:t>
      </w:r>
      <w:r w:rsidRPr="00AB5E32">
        <w:t xml:space="preserve"> </w:t>
      </w:r>
      <w:r w:rsidR="00D40F31" w:rsidRPr="00AB5E32">
        <w:t>much</w:t>
      </w:r>
      <w:r w:rsidRPr="00AB5E32">
        <w:t xml:space="preserve">. Given the same channel condition, </w:t>
      </w:r>
      <w:r w:rsidR="006A7C9A" w:rsidRPr="00AB5E32">
        <w:t xml:space="preserve">this may lead to significantly poorer performance at short information blocklengths compared to long information blocklengths. </w:t>
      </w:r>
    </w:p>
    <w:p w14:paraId="755A61EB" w14:textId="77777777" w:rsidR="00602AB1" w:rsidRPr="00AB5E32" w:rsidRDefault="00602AB1" w:rsidP="00602AB1">
      <w:pPr>
        <w:keepNext/>
      </w:pPr>
      <w:r w:rsidRPr="00AB5E32">
        <w:rPr>
          <w:noProof/>
          <w:lang w:val="en-US" w:eastAsia="en-US"/>
        </w:rPr>
        <w:drawing>
          <wp:inline distT="0" distB="0" distL="0" distR="0" wp14:anchorId="5DDD3A52" wp14:editId="6640F765">
            <wp:extent cx="6361650" cy="2105025"/>
            <wp:effectExtent l="0" t="0" r="1270" b="0"/>
            <wp:docPr id="6" name="Picture 6" descr="C:\Ma\Tasks\Incubation\Finite_blocklength_coding\Matalb\coding_rat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Ma\Tasks\Incubation\Finite_blocklength_coding\Matalb\coding_rates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948" cy="2114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B63B7" w14:textId="594CE799" w:rsidR="00602AB1" w:rsidRPr="00AB5E32" w:rsidRDefault="00602AB1" w:rsidP="00602AB1">
      <w:pPr>
        <w:pStyle w:val="Caption"/>
      </w:pPr>
      <w:r w:rsidRPr="00AB5E32">
        <w:t xml:space="preserve">Figure </w:t>
      </w:r>
      <w:r w:rsidR="006A7C9A" w:rsidRPr="00AB5E32">
        <w:t>1</w:t>
      </w:r>
      <w:r w:rsidR="00D40F31" w:rsidRPr="00AB5E32">
        <w:t xml:space="preserve"> The </w:t>
      </w:r>
      <w:r w:rsidRPr="00AB5E32">
        <w:t xml:space="preserve">coding rate as a function of the </w:t>
      </w:r>
      <w:r w:rsidR="006A7C9A" w:rsidRPr="00AB5E32">
        <w:t xml:space="preserve">information </w:t>
      </w:r>
      <w:r w:rsidRPr="00AB5E32">
        <w:t>blocklength for different MCS values (I</w:t>
      </w:r>
      <w:r w:rsidR="00D40F31" w:rsidRPr="00AB5E32">
        <w:t>_MCS</w:t>
      </w:r>
      <w:r w:rsidR="006A7C9A" w:rsidRPr="00AB5E32">
        <w:t>) in LTE [2]</w:t>
      </w:r>
      <w:r w:rsidRPr="00AB5E32">
        <w:t xml:space="preserve">. </w:t>
      </w:r>
    </w:p>
    <w:p w14:paraId="7C300D77" w14:textId="3FE1B420" w:rsidR="00585E81" w:rsidRPr="00AB5E32" w:rsidRDefault="00585E81" w:rsidP="00585E81">
      <w:pPr>
        <w:rPr>
          <w:lang w:eastAsia="x-none"/>
        </w:rPr>
      </w:pPr>
      <w:r w:rsidRPr="00AB5E32">
        <w:rPr>
          <w:szCs w:val="22"/>
          <w:lang w:eastAsia="sv-SE"/>
        </w:rPr>
        <w:t xml:space="preserve">Simulation results in </w:t>
      </w:r>
      <w:r w:rsidRPr="00AB5E32">
        <w:rPr>
          <w:b/>
        </w:rPr>
        <w:t>Figure 2</w:t>
      </w:r>
      <w:r w:rsidRPr="00AB5E32">
        <w:t xml:space="preserve"> </w:t>
      </w:r>
      <w:r w:rsidR="00D40F31" w:rsidRPr="00AB5E32">
        <w:t xml:space="preserve">show that the </w:t>
      </w:r>
      <w:r w:rsidR="00BC0166" w:rsidRPr="00AB5E32">
        <w:rPr>
          <w:szCs w:val="22"/>
          <w:lang w:eastAsia="sv-SE"/>
        </w:rPr>
        <w:t xml:space="preserve">information blocklength </w:t>
      </w:r>
      <w:r w:rsidR="00D40F31" w:rsidRPr="00AB5E32">
        <w:rPr>
          <w:szCs w:val="22"/>
          <w:lang w:eastAsia="sv-SE"/>
        </w:rPr>
        <w:t xml:space="preserve">has a significant impact </w:t>
      </w:r>
      <w:r w:rsidR="00BC0166" w:rsidRPr="00AB5E32">
        <w:rPr>
          <w:szCs w:val="22"/>
          <w:lang w:eastAsia="sv-SE"/>
        </w:rPr>
        <w:t xml:space="preserve">on </w:t>
      </w:r>
      <w:r w:rsidRPr="00AB5E32">
        <w:rPr>
          <w:szCs w:val="22"/>
          <w:lang w:eastAsia="sv-SE"/>
        </w:rPr>
        <w:t>BLER</w:t>
      </w:r>
      <w:r w:rsidR="00D40F31" w:rsidRPr="00AB5E32">
        <w:rPr>
          <w:szCs w:val="22"/>
          <w:lang w:eastAsia="sv-SE"/>
        </w:rPr>
        <w:t xml:space="preserve"> for LDPC codes</w:t>
      </w:r>
      <w:r w:rsidR="005C6CB9" w:rsidRPr="00AB5E32">
        <w:rPr>
          <w:szCs w:val="22"/>
          <w:lang w:eastAsia="sv-SE"/>
        </w:rPr>
        <w:t xml:space="preserve">. To </w:t>
      </w:r>
      <w:r w:rsidR="00964945" w:rsidRPr="00AB5E32">
        <w:rPr>
          <w:szCs w:val="22"/>
          <w:lang w:eastAsia="sv-SE"/>
        </w:rPr>
        <w:t>achieve</w:t>
      </w:r>
      <w:r w:rsidR="00BC0166" w:rsidRPr="00AB5E32">
        <w:rPr>
          <w:szCs w:val="22"/>
          <w:lang w:eastAsia="sv-SE"/>
        </w:rPr>
        <w:t xml:space="preserve"> </w:t>
      </w:r>
      <w:r w:rsidR="0037408D" w:rsidRPr="00AB5E32">
        <w:rPr>
          <w:szCs w:val="22"/>
          <w:lang w:eastAsia="sv-SE"/>
        </w:rPr>
        <w:t>10% BLER with a same coding rate</w:t>
      </w:r>
      <w:r w:rsidR="005C6CB9" w:rsidRPr="00AB5E32">
        <w:rPr>
          <w:szCs w:val="22"/>
          <w:lang w:eastAsia="sv-SE"/>
        </w:rPr>
        <w:t xml:space="preserve">, the required SNR for blocklength=2000 is about 1.5dB, while that for blocklength=200 is </w:t>
      </w:r>
      <w:r w:rsidR="005C6CB9" w:rsidRPr="00AB5E32">
        <w:rPr>
          <w:szCs w:val="22"/>
          <w:lang w:eastAsia="sv-SE"/>
        </w:rPr>
        <w:lastRenderedPageBreak/>
        <w:t xml:space="preserve">about 2.2dB. A CQI based on blocklength=2000 will not deliver the target BLER performance for blocklength=200. </w:t>
      </w:r>
      <w:r w:rsidR="0037408D" w:rsidRPr="00AB5E32">
        <w:rPr>
          <w:szCs w:val="22"/>
          <w:lang w:eastAsia="sv-SE"/>
        </w:rPr>
        <w:t xml:space="preserve">In the simulation, we assumed </w:t>
      </w:r>
      <w:r w:rsidR="00FD2988" w:rsidRPr="00AB5E32">
        <w:rPr>
          <w:szCs w:val="22"/>
          <w:lang w:eastAsia="sv-SE"/>
        </w:rPr>
        <w:t>BPSK</w:t>
      </w:r>
      <w:r w:rsidR="0037408D" w:rsidRPr="00AB5E32">
        <w:rPr>
          <w:szCs w:val="22"/>
          <w:lang w:eastAsia="sv-SE"/>
        </w:rPr>
        <w:t>, 1/2 coding rate for t</w:t>
      </w:r>
      <w:r w:rsidR="00FD2988" w:rsidRPr="00AB5E32">
        <w:rPr>
          <w:szCs w:val="22"/>
          <w:lang w:eastAsia="sv-SE"/>
        </w:rPr>
        <w:t xml:space="preserve">he </w:t>
      </w:r>
      <w:r w:rsidRPr="00AB5E32">
        <w:rPr>
          <w:szCs w:val="22"/>
          <w:lang w:eastAsia="sv-SE"/>
        </w:rPr>
        <w:t>LDPC</w:t>
      </w:r>
      <w:r w:rsidR="00FD2988" w:rsidRPr="00AB5E32">
        <w:rPr>
          <w:szCs w:val="22"/>
          <w:lang w:eastAsia="sv-SE"/>
        </w:rPr>
        <w:t xml:space="preserve"> code, and a regular random parity check matrix</w:t>
      </w:r>
      <w:r w:rsidRPr="00AB5E32">
        <w:rPr>
          <w:szCs w:val="22"/>
          <w:lang w:eastAsia="sv-SE"/>
        </w:rPr>
        <w:t xml:space="preserve"> </w:t>
      </w:r>
      <w:r w:rsidR="00FD2988" w:rsidRPr="00AB5E32">
        <w:rPr>
          <w:szCs w:val="22"/>
          <w:lang w:eastAsia="sv-SE"/>
        </w:rPr>
        <w:t xml:space="preserve">with column weight </w:t>
      </w:r>
      <w:r w:rsidRPr="00AB5E32">
        <w:rPr>
          <w:szCs w:val="22"/>
          <w:lang w:eastAsia="sv-SE"/>
        </w:rPr>
        <w:t xml:space="preserve">3. The channel is AWGN. </w:t>
      </w:r>
      <w:r w:rsidR="00FD2988" w:rsidRPr="00AB5E32">
        <w:rPr>
          <w:lang w:eastAsia="x-none"/>
        </w:rPr>
        <w:t>In</w:t>
      </w:r>
      <w:r w:rsidRPr="00AB5E32">
        <w:rPr>
          <w:lang w:eastAsia="x-none"/>
        </w:rPr>
        <w:t xml:space="preserve"> decoding, the likelihood ratio of each bit</w:t>
      </w:r>
      <w:r w:rsidR="00FD2988" w:rsidRPr="00AB5E32">
        <w:rPr>
          <w:lang w:eastAsia="x-none"/>
        </w:rPr>
        <w:t xml:space="preserve"> is computed at demodulation </w:t>
      </w:r>
      <w:r w:rsidRPr="00AB5E32">
        <w:rPr>
          <w:lang w:eastAsia="x-none"/>
        </w:rPr>
        <w:t xml:space="preserve">and then passed to </w:t>
      </w:r>
      <w:r w:rsidR="00FD2988" w:rsidRPr="00AB5E32">
        <w:rPr>
          <w:lang w:eastAsia="x-none"/>
        </w:rPr>
        <w:t xml:space="preserve">a </w:t>
      </w:r>
      <w:r w:rsidRPr="00AB5E32">
        <w:rPr>
          <w:lang w:eastAsia="x-none"/>
        </w:rPr>
        <w:t>message passing</w:t>
      </w:r>
      <w:r w:rsidR="00FD2988" w:rsidRPr="00AB5E32">
        <w:rPr>
          <w:lang w:eastAsia="x-none"/>
        </w:rPr>
        <w:t xml:space="preserve"> algorithm</w:t>
      </w:r>
      <w:r w:rsidRPr="00AB5E32">
        <w:rPr>
          <w:lang w:eastAsia="x-none"/>
        </w:rPr>
        <w:t xml:space="preserve">. </w:t>
      </w:r>
    </w:p>
    <w:p w14:paraId="61641E41" w14:textId="17715FAA" w:rsidR="00585E81" w:rsidRPr="00AB5E32" w:rsidRDefault="005C6CB9" w:rsidP="00BC0166">
      <w:pPr>
        <w:jc w:val="center"/>
        <w:rPr>
          <w:lang w:eastAsia="x-none"/>
        </w:rPr>
      </w:pPr>
      <w:r w:rsidRPr="00AB5E32">
        <w:rPr>
          <w:noProof/>
          <w:lang w:val="en-US" w:eastAsia="en-US"/>
        </w:rPr>
        <w:drawing>
          <wp:inline distT="0" distB="0" distL="0" distR="0" wp14:anchorId="518C5A46" wp14:editId="3FBE21E6">
            <wp:extent cx="3708400" cy="2781300"/>
            <wp:effectExtent l="0" t="0" r="6350" b="0"/>
            <wp:docPr id="1" name="Picture 1" descr="C:\Ma\Tasks\University_projects\Kansas\Finite_blocklength_coding\Paper2\BL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Ma\Tasks\University_projects\Kansas\Finite_blocklength_coding\Paper2\BLER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5E32">
        <w:rPr>
          <w:noProof/>
          <w:lang w:val="en-US" w:eastAsia="en-US"/>
        </w:rPr>
        <w:t xml:space="preserve"> </w:t>
      </w:r>
    </w:p>
    <w:p w14:paraId="2F56205D" w14:textId="4F66AB0E" w:rsidR="00585E81" w:rsidRPr="00AB5E32" w:rsidRDefault="00585E81" w:rsidP="00585E81">
      <w:pPr>
        <w:pStyle w:val="Caption"/>
      </w:pPr>
      <w:r w:rsidRPr="00AB5E32">
        <w:t xml:space="preserve">Figure 2 The BLER as </w:t>
      </w:r>
      <w:r w:rsidR="005C6CB9" w:rsidRPr="00AB5E32">
        <w:t>a function of SNR</w:t>
      </w:r>
      <w:r w:rsidRPr="00AB5E32">
        <w:t xml:space="preserve"> for various information blocklengths for LDPC and an AWGN channel.</w:t>
      </w:r>
    </w:p>
    <w:p w14:paraId="2024BA9C" w14:textId="3276FEDC" w:rsidR="00B622A8" w:rsidRPr="00AB5E32" w:rsidRDefault="00E243CB" w:rsidP="00B622A8">
      <w:pPr>
        <w:rPr>
          <w:rFonts w:eastAsiaTheme="minorEastAsia"/>
        </w:rPr>
      </w:pPr>
      <w:r w:rsidRPr="00AB5E32">
        <w:rPr>
          <w:szCs w:val="22"/>
          <w:lang w:eastAsia="sv-SE"/>
        </w:rPr>
        <w:lastRenderedPageBreak/>
        <w:t xml:space="preserve">In order to maintain the same performance, </w:t>
      </w:r>
      <w:r w:rsidR="00FD2988" w:rsidRPr="00AB5E32">
        <w:rPr>
          <w:szCs w:val="22"/>
          <w:lang w:eastAsia="sv-SE"/>
        </w:rPr>
        <w:t xml:space="preserve">the shorter the information blocklength, the </w:t>
      </w:r>
      <w:r w:rsidR="00A36379" w:rsidRPr="00AB5E32">
        <w:rPr>
          <w:szCs w:val="22"/>
          <w:lang w:eastAsia="sv-SE"/>
        </w:rPr>
        <w:t xml:space="preserve">lower </w:t>
      </w:r>
      <w:r w:rsidRPr="00AB5E32">
        <w:rPr>
          <w:szCs w:val="22"/>
          <w:lang w:eastAsia="sv-SE"/>
        </w:rPr>
        <w:t>the channel coding rate</w:t>
      </w:r>
      <w:r w:rsidR="00A47784" w:rsidRPr="00AB5E32">
        <w:rPr>
          <w:szCs w:val="22"/>
          <w:lang w:eastAsia="sv-SE"/>
        </w:rPr>
        <w:t xml:space="preserve">, which has been shown rigorously in </w:t>
      </w:r>
      <w:r w:rsidR="00A36379" w:rsidRPr="00AB5E32">
        <w:rPr>
          <w:szCs w:val="22"/>
          <w:lang w:eastAsia="sv-SE"/>
        </w:rPr>
        <w:t>[5].</w:t>
      </w:r>
      <w:r w:rsidR="00361B7D" w:rsidRPr="00AB5E32">
        <w:rPr>
          <w:szCs w:val="22"/>
          <w:lang w:eastAsia="sv-SE"/>
        </w:rPr>
        <w:t xml:space="preserve"> Roughly speaking, the gap between the</w:t>
      </w:r>
      <w:r w:rsidR="00361B7D" w:rsidRPr="00AB5E32">
        <w:t xml:space="preserve"> maximum achievable rate and the channel capacity (i.e., the maximum achievable rate as the information </w:t>
      </w:r>
      <w:proofErr w:type="spellStart"/>
      <w:r w:rsidR="00964945" w:rsidRPr="00AB5E32">
        <w:t>blocklength</w:t>
      </w:r>
      <w:proofErr w:type="spellEnd"/>
      <w:r w:rsidR="00361B7D" w:rsidRPr="00AB5E32">
        <w:t xml:space="preserve"> approaches infinity) is </w:t>
      </w:r>
      <w:r w:rsidR="00964945" w:rsidRPr="00AB5E32">
        <w:t>reciprocally</w:t>
      </w:r>
      <w:r w:rsidR="00361B7D" w:rsidRPr="00AB5E32">
        <w:t xml:space="preserve"> proportional to the square root of the information blocklength</w:t>
      </w:r>
      <w:r w:rsidR="00A47784" w:rsidRPr="00AB5E32">
        <w:t xml:space="preserve">. This is illustrated in </w:t>
      </w:r>
      <w:r w:rsidR="00A47784" w:rsidRPr="00AB5E32">
        <w:rPr>
          <w:b/>
        </w:rPr>
        <w:t>Figure 3</w:t>
      </w:r>
      <w:r w:rsidR="00A47784" w:rsidRPr="00AB5E32">
        <w:t xml:space="preserve"> with an AWGN channel with SNR=10dB and BLER=</w:t>
      </w:r>
      <w:r w:rsidR="00A47784" w:rsidRPr="00AB5E32">
        <w:rPr>
          <w:szCs w:val="22"/>
          <w:lang w:eastAsia="sv-SE"/>
        </w:rPr>
        <w:t>1.0×10</w:t>
      </w:r>
      <w:r w:rsidR="00A47784" w:rsidRPr="00AB5E32">
        <w:rPr>
          <w:szCs w:val="22"/>
          <w:vertAlign w:val="superscript"/>
          <w:lang w:eastAsia="sv-SE"/>
        </w:rPr>
        <w:t>-3</w:t>
      </w:r>
      <w:r w:rsidR="00A47784" w:rsidRPr="00AB5E32">
        <w:t xml:space="preserve">. It is clear that shorter </w:t>
      </w:r>
      <w:r w:rsidR="0063398B" w:rsidRPr="00AB5E32">
        <w:t xml:space="preserve">information </w:t>
      </w:r>
      <w:r w:rsidR="00A47784" w:rsidRPr="00AB5E32">
        <w:t xml:space="preserve">blocklengths require lower coding rates (more redundancy) in order to achieve the same BLER compared with longer </w:t>
      </w:r>
      <w:r w:rsidR="0063398B" w:rsidRPr="00AB5E32">
        <w:t xml:space="preserve">information </w:t>
      </w:r>
      <w:r w:rsidR="00A47784" w:rsidRPr="00AB5E32">
        <w:t xml:space="preserve">blocklengths. </w:t>
      </w:r>
      <w:r w:rsidR="0063398B" w:rsidRPr="00AB5E32">
        <w:t xml:space="preserve">Also, as the information </w:t>
      </w:r>
      <w:proofErr w:type="spellStart"/>
      <w:r w:rsidR="0063398B" w:rsidRPr="00AB5E32">
        <w:t>blocklength</w:t>
      </w:r>
      <w:proofErr w:type="spellEnd"/>
      <w:r w:rsidR="0063398B" w:rsidRPr="00AB5E32">
        <w:t xml:space="preserve"> </w:t>
      </w:r>
      <w:r w:rsidR="00964945" w:rsidRPr="00AB5E32">
        <w:t>becomes</w:t>
      </w:r>
      <w:r w:rsidR="0063398B" w:rsidRPr="00AB5E32">
        <w:t xml:space="preserve"> large, say, greater than 2000, the code rate required to meet the BLER=</w:t>
      </w:r>
      <w:r w:rsidR="0063398B" w:rsidRPr="00AB5E32">
        <w:rPr>
          <w:szCs w:val="22"/>
          <w:lang w:eastAsia="sv-SE"/>
        </w:rPr>
        <w:t>1.0×10</w:t>
      </w:r>
      <w:r w:rsidR="0063398B" w:rsidRPr="00AB5E32">
        <w:rPr>
          <w:szCs w:val="22"/>
          <w:vertAlign w:val="superscript"/>
          <w:lang w:eastAsia="sv-SE"/>
        </w:rPr>
        <w:t>-3</w:t>
      </w:r>
      <w:r w:rsidR="0063398B" w:rsidRPr="00AB5E32">
        <w:t xml:space="preserve"> requirement does not change much with the information blocklength. </w:t>
      </w:r>
      <w:r w:rsidR="0063398B" w:rsidRPr="00AB5E32">
        <w:rPr>
          <w:b/>
        </w:rPr>
        <w:t>F</w:t>
      </w:r>
      <w:r w:rsidR="00A47784" w:rsidRPr="00AB5E32">
        <w:rPr>
          <w:b/>
        </w:rPr>
        <w:t>igure 3</w:t>
      </w:r>
      <w:r w:rsidR="00A47784" w:rsidRPr="00AB5E32">
        <w:t xml:space="preserve"> is in stark contrast with </w:t>
      </w:r>
      <w:r w:rsidR="00A47784" w:rsidRPr="00AB5E32">
        <w:rPr>
          <w:b/>
        </w:rPr>
        <w:t>Figure 1</w:t>
      </w:r>
      <w:r w:rsidR="0063398B" w:rsidRPr="00AB5E32">
        <w:t xml:space="preserve">, </w:t>
      </w:r>
      <w:r w:rsidR="00A47784" w:rsidRPr="00AB5E32">
        <w:t>which is based on the LTE standard [2]. Therefore, we need to reconsider the CQI reporting for NR where short information blocklen</w:t>
      </w:r>
      <w:r w:rsidR="00964945" w:rsidRPr="00AB5E32">
        <w:t>g</w:t>
      </w:r>
      <w:r w:rsidR="00A47784" w:rsidRPr="00AB5E32">
        <w:t xml:space="preserve">ths may occur </w:t>
      </w:r>
      <w:r w:rsidR="0063398B" w:rsidRPr="00AB5E32">
        <w:t>often.</w:t>
      </w:r>
    </w:p>
    <w:p w14:paraId="3B899EC7" w14:textId="77777777" w:rsidR="00E243CB" w:rsidRPr="00AB5E32" w:rsidRDefault="00E243CB" w:rsidP="00585E81">
      <w:pPr>
        <w:jc w:val="center"/>
        <w:rPr>
          <w:szCs w:val="22"/>
          <w:lang w:eastAsia="sv-SE"/>
        </w:rPr>
      </w:pPr>
    </w:p>
    <w:p w14:paraId="78060CC2" w14:textId="3CBE91D1" w:rsidR="006A7C9A" w:rsidRPr="00AB5E32" w:rsidRDefault="00361B7D" w:rsidP="008A0B24">
      <w:pPr>
        <w:rPr>
          <w:szCs w:val="22"/>
          <w:lang w:eastAsia="sv-SE"/>
        </w:rPr>
      </w:pPr>
      <w:r w:rsidRPr="00AB5E32">
        <w:rPr>
          <w:noProof/>
          <w:szCs w:val="22"/>
          <w:lang w:val="en-US" w:eastAsia="en-US"/>
        </w:rPr>
        <w:lastRenderedPageBreak/>
        <w:drawing>
          <wp:inline distT="0" distB="0" distL="0" distR="0" wp14:anchorId="2920F155" wp14:editId="532E0400">
            <wp:extent cx="6120765" cy="2942898"/>
            <wp:effectExtent l="0" t="0" r="0" b="0"/>
            <wp:docPr id="3" name="Picture 3" descr="C:\Ma\Tasks\University_projects\UCSD\bounds_10dB_10minus3_v2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Ma\Tasks\University_projects\UCSD\bounds_10dB_10minus3_v2b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942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49365" w14:textId="1A1C045B" w:rsidR="00B622A8" w:rsidRPr="00AB5E32" w:rsidRDefault="00B622A8" w:rsidP="00B622A8">
      <w:pPr>
        <w:pStyle w:val="Caption"/>
        <w:rPr>
          <w:rFonts w:eastAsiaTheme="minorEastAsia"/>
        </w:rPr>
      </w:pPr>
      <w:bookmarkStart w:id="0" w:name="_Ref451499895"/>
      <w:r w:rsidRPr="00AB5E32">
        <w:t xml:space="preserve">Figure </w:t>
      </w:r>
      <w:r w:rsidRPr="00AB5E32">
        <w:fldChar w:fldCharType="begin"/>
      </w:r>
      <w:r w:rsidRPr="00AB5E32">
        <w:instrText xml:space="preserve"> SEQ Figure \* ARABIC </w:instrText>
      </w:r>
      <w:r w:rsidRPr="00AB5E32">
        <w:fldChar w:fldCharType="separate"/>
      </w:r>
      <w:r w:rsidR="007D56A7" w:rsidRPr="00AB5E32">
        <w:rPr>
          <w:noProof/>
        </w:rPr>
        <w:t>1</w:t>
      </w:r>
      <w:r w:rsidRPr="00AB5E32">
        <w:rPr>
          <w:noProof/>
        </w:rPr>
        <w:fldChar w:fldCharType="end"/>
      </w:r>
      <w:bookmarkEnd w:id="0"/>
      <w:r w:rsidR="00361B7D" w:rsidRPr="00AB5E32">
        <w:t xml:space="preserve"> </w:t>
      </w:r>
      <w:proofErr w:type="gramStart"/>
      <w:r w:rsidR="00361B7D" w:rsidRPr="00AB5E32">
        <w:t>An</w:t>
      </w:r>
      <w:proofErr w:type="gramEnd"/>
      <w:r w:rsidRPr="00AB5E32">
        <w:t xml:space="preserve"> </w:t>
      </w:r>
      <w:r w:rsidR="00361B7D" w:rsidRPr="00AB5E32">
        <w:t xml:space="preserve">upper bound (red solid line), </w:t>
      </w:r>
      <w:r w:rsidR="00A47784" w:rsidRPr="00AB5E32">
        <w:t xml:space="preserve">the </w:t>
      </w:r>
      <w:r w:rsidR="00361B7D" w:rsidRPr="00AB5E32">
        <w:t xml:space="preserve">normal </w:t>
      </w:r>
      <w:r w:rsidR="00964945" w:rsidRPr="00AB5E32">
        <w:t>approximation</w:t>
      </w:r>
      <w:r w:rsidR="00361B7D" w:rsidRPr="00AB5E32">
        <w:t xml:space="preserve"> (green solid line), and a lower bound (blue solid line) on the </w:t>
      </w:r>
      <w:r w:rsidRPr="00AB5E32">
        <w:t xml:space="preserve">maximum </w:t>
      </w:r>
      <w:r w:rsidR="00361B7D" w:rsidRPr="00AB5E32">
        <w:t xml:space="preserve">achievable </w:t>
      </w:r>
      <w:r w:rsidRPr="00AB5E32">
        <w:t xml:space="preserve">rate </w:t>
      </w:r>
      <w:r w:rsidR="00361B7D" w:rsidRPr="00AB5E32">
        <w:t xml:space="preserve">as a function of the information blocklength for </w:t>
      </w:r>
      <w:r w:rsidRPr="00AB5E32">
        <w:t xml:space="preserve">an AWGN </w:t>
      </w:r>
      <w:r w:rsidR="00A47784" w:rsidRPr="00AB5E32">
        <w:t xml:space="preserve">channel </w:t>
      </w:r>
      <w:r w:rsidR="00361B7D" w:rsidRPr="00AB5E32">
        <w:t>with SNR=10dB</w:t>
      </w:r>
      <w:r w:rsidRPr="00AB5E32">
        <w:t xml:space="preserve"> </w:t>
      </w:r>
      <w:r w:rsidR="00361B7D" w:rsidRPr="00AB5E32">
        <w:t>and BLER=1.0x10</w:t>
      </w:r>
      <w:r w:rsidR="00361B7D" w:rsidRPr="00AB5E32">
        <w:rPr>
          <w:vertAlign w:val="superscript"/>
        </w:rPr>
        <w:t>-3</w:t>
      </w:r>
      <w:r w:rsidR="00361B7D" w:rsidRPr="00AB5E32">
        <w:t xml:space="preserve">. Also plotted is the channel capacity (red dashed line) </w:t>
      </w:r>
    </w:p>
    <w:p w14:paraId="6F88EF93" w14:textId="31B4A0A2" w:rsidR="00721E95" w:rsidRPr="00AB5E32" w:rsidRDefault="004555E3" w:rsidP="00215991">
      <w:r w:rsidRPr="00AB5E32">
        <w:rPr>
          <w:b/>
          <w:i/>
          <w:szCs w:val="22"/>
          <w:u w:val="single"/>
          <w:lang w:eastAsia="sv-SE"/>
        </w:rPr>
        <w:t>Proposal 1:</w:t>
      </w:r>
      <w:r w:rsidRPr="00AB5E32">
        <w:rPr>
          <w:b/>
          <w:szCs w:val="22"/>
          <w:lang w:eastAsia="sv-SE"/>
        </w:rPr>
        <w:t xml:space="preserve"> </w:t>
      </w:r>
      <w:r w:rsidR="0037408D" w:rsidRPr="00AB5E32">
        <w:rPr>
          <w:i/>
          <w:szCs w:val="22"/>
          <w:lang w:eastAsia="sv-SE"/>
        </w:rPr>
        <w:t xml:space="preserve">RAN1 to study </w:t>
      </w:r>
      <w:r w:rsidR="00AB5E32">
        <w:rPr>
          <w:i/>
          <w:szCs w:val="22"/>
          <w:lang w:eastAsia="sv-SE"/>
        </w:rPr>
        <w:t>the</w:t>
      </w:r>
      <w:bookmarkStart w:id="1" w:name="_GoBack"/>
      <w:bookmarkEnd w:id="1"/>
      <w:r w:rsidR="0037408D" w:rsidRPr="00AB5E32">
        <w:rPr>
          <w:i/>
          <w:szCs w:val="22"/>
          <w:lang w:eastAsia="sv-SE"/>
        </w:rPr>
        <w:t xml:space="preserve"> potential impact of </w:t>
      </w:r>
      <w:r w:rsidR="00D02592" w:rsidRPr="00AB5E32">
        <w:rPr>
          <w:i/>
          <w:szCs w:val="22"/>
          <w:lang w:eastAsia="sv-SE"/>
        </w:rPr>
        <w:t xml:space="preserve">CQI mismatch due to a </w:t>
      </w:r>
      <w:r w:rsidR="003D0F0C" w:rsidRPr="00AB5E32">
        <w:rPr>
          <w:i/>
          <w:szCs w:val="22"/>
          <w:lang w:eastAsia="sv-SE"/>
        </w:rPr>
        <w:t xml:space="preserve">short information </w:t>
      </w:r>
      <w:proofErr w:type="spellStart"/>
      <w:r w:rsidR="003D0F0C" w:rsidRPr="00AB5E32">
        <w:rPr>
          <w:i/>
          <w:szCs w:val="22"/>
          <w:lang w:eastAsia="sv-SE"/>
        </w:rPr>
        <w:t>block</w:t>
      </w:r>
      <w:r w:rsidR="00D02592" w:rsidRPr="00AB5E32">
        <w:rPr>
          <w:i/>
          <w:szCs w:val="22"/>
          <w:lang w:eastAsia="sv-SE"/>
        </w:rPr>
        <w:t>length</w:t>
      </w:r>
      <w:proofErr w:type="spellEnd"/>
      <w:r w:rsidR="0037408D" w:rsidRPr="00AB5E32">
        <w:rPr>
          <w:i/>
          <w:szCs w:val="22"/>
          <w:lang w:eastAsia="sv-SE"/>
        </w:rPr>
        <w:t xml:space="preserve"> </w:t>
      </w:r>
    </w:p>
    <w:p w14:paraId="596E93DF" w14:textId="4893F5BD" w:rsidR="00821C42" w:rsidRPr="00AB5E32" w:rsidRDefault="00BF17FD" w:rsidP="00821C4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 w:rsidRPr="00AB5E32">
        <w:rPr>
          <w:rFonts w:ascii="Times New Roman" w:hAnsi="Times New Roman"/>
          <w:b/>
          <w:sz w:val="32"/>
          <w:lang w:val="en-US"/>
        </w:rPr>
        <w:lastRenderedPageBreak/>
        <w:t>Summary</w:t>
      </w:r>
    </w:p>
    <w:p w14:paraId="383E597E" w14:textId="14E577C4" w:rsidR="00D02592" w:rsidRPr="00AB5E32" w:rsidRDefault="0037408D" w:rsidP="003242DD">
      <w:pPr>
        <w:rPr>
          <w:szCs w:val="22"/>
        </w:rPr>
      </w:pPr>
      <w:r w:rsidRPr="00AB5E32">
        <w:rPr>
          <w:szCs w:val="22"/>
        </w:rPr>
        <w:t>In this contribution, we discussed on the potential CQI mismatch</w:t>
      </w:r>
      <w:r w:rsidR="00D02592" w:rsidRPr="00AB5E32">
        <w:rPr>
          <w:szCs w:val="22"/>
        </w:rPr>
        <w:t xml:space="preserve"> issue</w:t>
      </w:r>
      <w:r w:rsidRPr="00AB5E32">
        <w:rPr>
          <w:szCs w:val="22"/>
        </w:rPr>
        <w:t xml:space="preserve"> due to the absence of reference</w:t>
      </w:r>
      <w:r w:rsidR="00D02592" w:rsidRPr="00AB5E32">
        <w:rPr>
          <w:szCs w:val="22"/>
        </w:rPr>
        <w:t xml:space="preserve"> information blocklength for the CQI calculation at a UE. Based on the discussions and observations, we propose following:</w:t>
      </w:r>
    </w:p>
    <w:p w14:paraId="07779A7C" w14:textId="7C37F86D" w:rsidR="006261B8" w:rsidRPr="00AB5E32" w:rsidRDefault="00D02592" w:rsidP="006261B8">
      <w:pPr>
        <w:rPr>
          <w:b/>
          <w:szCs w:val="22"/>
          <w:u w:val="single"/>
          <w:lang w:eastAsia="sv-SE"/>
        </w:rPr>
      </w:pPr>
      <w:r w:rsidRPr="00AB5E32">
        <w:rPr>
          <w:b/>
          <w:i/>
          <w:szCs w:val="22"/>
          <w:u w:val="single"/>
          <w:lang w:eastAsia="sv-SE"/>
        </w:rPr>
        <w:t>Proposal 1:</w:t>
      </w:r>
      <w:r w:rsidRPr="00AB5E32">
        <w:rPr>
          <w:b/>
          <w:szCs w:val="22"/>
          <w:lang w:eastAsia="sv-SE"/>
        </w:rPr>
        <w:t xml:space="preserve"> </w:t>
      </w:r>
      <w:r w:rsidRPr="00AB5E32">
        <w:rPr>
          <w:i/>
          <w:szCs w:val="22"/>
          <w:lang w:eastAsia="sv-SE"/>
        </w:rPr>
        <w:t xml:space="preserve">RAN1 to study </w:t>
      </w:r>
      <w:r w:rsidR="00AB5E32">
        <w:rPr>
          <w:i/>
          <w:szCs w:val="22"/>
          <w:lang w:eastAsia="sv-SE"/>
        </w:rPr>
        <w:t>the</w:t>
      </w:r>
      <w:r w:rsidRPr="00AB5E32">
        <w:rPr>
          <w:i/>
          <w:szCs w:val="22"/>
          <w:lang w:eastAsia="sv-SE"/>
        </w:rPr>
        <w:t xml:space="preserve"> potential impact of CQI mismatch due to a short information </w:t>
      </w:r>
      <w:proofErr w:type="spellStart"/>
      <w:r w:rsidRPr="00AB5E32">
        <w:rPr>
          <w:i/>
          <w:szCs w:val="22"/>
          <w:lang w:eastAsia="sv-SE"/>
        </w:rPr>
        <w:t>blocklength</w:t>
      </w:r>
      <w:proofErr w:type="spellEnd"/>
      <w:r w:rsidR="00073E80" w:rsidRPr="00AB5E32">
        <w:rPr>
          <w:i/>
          <w:szCs w:val="22"/>
          <w:lang w:eastAsia="sv-SE"/>
        </w:rPr>
        <w:t>.</w:t>
      </w:r>
    </w:p>
    <w:p w14:paraId="0EF7466D" w14:textId="77777777" w:rsidR="00251B4A" w:rsidRPr="00AB5E32" w:rsidRDefault="00251B4A" w:rsidP="00251B4A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AB5E32">
        <w:rPr>
          <w:rFonts w:ascii="Times New Roman" w:hAnsi="Times New Roman"/>
          <w:b/>
          <w:sz w:val="32"/>
          <w:lang w:val="en-US"/>
        </w:rPr>
        <w:t>References</w:t>
      </w:r>
    </w:p>
    <w:p w14:paraId="1CA3A936" w14:textId="4B636177" w:rsidR="00E246F8" w:rsidRPr="00AB5E32" w:rsidRDefault="008E6321" w:rsidP="005266DD">
      <w:pPr>
        <w:pStyle w:val="Reference"/>
        <w:rPr>
          <w:szCs w:val="22"/>
        </w:rPr>
      </w:pPr>
      <w:bookmarkStart w:id="2" w:name="_Ref455734493"/>
      <w:bookmarkStart w:id="3" w:name="_Ref434502751"/>
      <w:bookmarkStart w:id="4" w:name="_Ref419296613"/>
      <w:bookmarkStart w:id="5" w:name="_Ref434227915"/>
      <w:bookmarkStart w:id="6" w:name="_Ref434501473"/>
      <w:r w:rsidRPr="00AB5E32">
        <w:rPr>
          <w:szCs w:val="22"/>
        </w:rPr>
        <w:t>RAN1#86</w:t>
      </w:r>
      <w:r w:rsidR="005266DD" w:rsidRPr="00AB5E32">
        <w:rPr>
          <w:szCs w:val="22"/>
        </w:rPr>
        <w:t xml:space="preserve"> Chairman’s Note</w:t>
      </w:r>
      <w:bookmarkEnd w:id="2"/>
      <w:r w:rsidR="005266DD" w:rsidRPr="00AB5E32">
        <w:rPr>
          <w:szCs w:val="22"/>
        </w:rPr>
        <w:t>s</w:t>
      </w:r>
      <w:bookmarkEnd w:id="3"/>
      <w:bookmarkEnd w:id="4"/>
      <w:bookmarkEnd w:id="5"/>
      <w:bookmarkEnd w:id="6"/>
    </w:p>
    <w:p w14:paraId="0EE46156" w14:textId="138F64DE" w:rsidR="00B913BE" w:rsidRPr="00AB5E32" w:rsidRDefault="00B913BE" w:rsidP="005266DD">
      <w:pPr>
        <w:pStyle w:val="Reference"/>
        <w:rPr>
          <w:szCs w:val="22"/>
        </w:rPr>
      </w:pPr>
      <w:r w:rsidRPr="00AB5E32">
        <w:rPr>
          <w:szCs w:val="22"/>
        </w:rPr>
        <w:t>3GPP TS 36.213, V13.2.0, June 2016.</w:t>
      </w:r>
    </w:p>
    <w:p w14:paraId="544B1162" w14:textId="54E532C6" w:rsidR="00F2247F" w:rsidRPr="00AB5E32" w:rsidRDefault="00F2247F" w:rsidP="005266DD">
      <w:pPr>
        <w:pStyle w:val="Reference"/>
        <w:rPr>
          <w:szCs w:val="22"/>
        </w:rPr>
      </w:pPr>
      <w:r w:rsidRPr="00AB5E32">
        <w:rPr>
          <w:rFonts w:eastAsia="MS Mincho"/>
          <w:lang w:eastAsia="ja-JP"/>
        </w:rPr>
        <w:t>R1-168285, WF on channel code</w:t>
      </w:r>
      <w:r w:rsidR="00F46ED7" w:rsidRPr="00AB5E32">
        <w:rPr>
          <w:rFonts w:eastAsia="MS Mincho"/>
          <w:lang w:eastAsia="ja-JP"/>
        </w:rPr>
        <w:t xml:space="preserve"> evaluation for URLLC, Qualcomm, </w:t>
      </w:r>
      <w:r w:rsidR="00F46ED7" w:rsidRPr="00AB5E32">
        <w:t>RAN1 #86, Gothenburg, Sweden.</w:t>
      </w:r>
    </w:p>
    <w:p w14:paraId="7F4AAF47" w14:textId="6F3325E9" w:rsidR="009E04C1" w:rsidRPr="00AB5E32" w:rsidRDefault="009E04C1" w:rsidP="005266DD">
      <w:pPr>
        <w:pStyle w:val="Reference"/>
        <w:rPr>
          <w:szCs w:val="22"/>
        </w:rPr>
      </w:pPr>
      <w:r w:rsidRPr="00AB5E32">
        <w:t xml:space="preserve">S. Dolinar, D. Divsalar and F. </w:t>
      </w:r>
      <w:proofErr w:type="spellStart"/>
      <w:r w:rsidRPr="00AB5E32">
        <w:t>Pollara</w:t>
      </w:r>
      <w:proofErr w:type="spellEnd"/>
      <w:r w:rsidRPr="00AB5E32">
        <w:t>, “Code performance as a function of block size”, TMO Progress Report 42-133, 1998.</w:t>
      </w:r>
    </w:p>
    <w:p w14:paraId="45DFD6E2" w14:textId="37437531" w:rsidR="009E04C1" w:rsidRPr="00AB5E32" w:rsidRDefault="009E04C1" w:rsidP="005266DD">
      <w:pPr>
        <w:pStyle w:val="Reference"/>
        <w:rPr>
          <w:szCs w:val="22"/>
        </w:rPr>
      </w:pPr>
      <w:r w:rsidRPr="00AB5E32">
        <w:lastRenderedPageBreak/>
        <w:t xml:space="preserve">Y. </w:t>
      </w:r>
      <w:proofErr w:type="spellStart"/>
      <w:r w:rsidRPr="00AB5E32">
        <w:t>Polyanskiy</w:t>
      </w:r>
      <w:proofErr w:type="spellEnd"/>
      <w:r w:rsidRPr="00AB5E32">
        <w:t xml:space="preserve">, H. V. Poor and S. </w:t>
      </w:r>
      <w:proofErr w:type="spellStart"/>
      <w:r w:rsidRPr="00AB5E32">
        <w:t>Verdu</w:t>
      </w:r>
      <w:proofErr w:type="spellEnd"/>
      <w:r w:rsidRPr="00AB5E32">
        <w:t xml:space="preserve">, “Channel coding rate in the finite </w:t>
      </w:r>
      <w:proofErr w:type="spellStart"/>
      <w:r w:rsidRPr="00AB5E32">
        <w:t>blocklength</w:t>
      </w:r>
      <w:proofErr w:type="spellEnd"/>
      <w:r w:rsidRPr="00AB5E32">
        <w:t xml:space="preserve"> regime”, IEEE Transactions on Information Theory, VOL. 56, No. 5, May 2010.</w:t>
      </w:r>
    </w:p>
    <w:p w14:paraId="7163DA85" w14:textId="3EA44A65" w:rsidR="00745AB3" w:rsidRPr="00AB5E32" w:rsidRDefault="00745AB3" w:rsidP="005266DD">
      <w:pPr>
        <w:pStyle w:val="Reference"/>
        <w:rPr>
          <w:szCs w:val="22"/>
        </w:rPr>
      </w:pPr>
      <w:r w:rsidRPr="00AB5E32">
        <w:t xml:space="preserve">E. </w:t>
      </w:r>
      <w:proofErr w:type="spellStart"/>
      <w:r w:rsidRPr="00AB5E32">
        <w:t>Dahlman</w:t>
      </w:r>
      <w:proofErr w:type="spellEnd"/>
      <w:r w:rsidRPr="00AB5E32">
        <w:t xml:space="preserve">, S. </w:t>
      </w:r>
      <w:proofErr w:type="spellStart"/>
      <w:r w:rsidRPr="00AB5E32">
        <w:t>Parkvall</w:t>
      </w:r>
      <w:proofErr w:type="spellEnd"/>
      <w:r w:rsidRPr="00AB5E32">
        <w:t xml:space="preserve"> and J. </w:t>
      </w:r>
      <w:proofErr w:type="spellStart"/>
      <w:r w:rsidRPr="00AB5E32">
        <w:t>Skold</w:t>
      </w:r>
      <w:proofErr w:type="spellEnd"/>
      <w:r w:rsidRPr="00AB5E32">
        <w:t xml:space="preserve">, “4G LTE-Advanced Pro and </w:t>
      </w:r>
      <w:proofErr w:type="gramStart"/>
      <w:r w:rsidRPr="00AB5E32">
        <w:t>The</w:t>
      </w:r>
      <w:proofErr w:type="gramEnd"/>
      <w:r w:rsidRPr="00AB5E32">
        <w:t xml:space="preserve"> Road to 5G”, 3</w:t>
      </w:r>
      <w:r w:rsidRPr="00AB5E32">
        <w:rPr>
          <w:vertAlign w:val="superscript"/>
        </w:rPr>
        <w:t>rd</w:t>
      </w:r>
      <w:r w:rsidRPr="00AB5E32">
        <w:t xml:space="preserve"> Edition, Academic Press, 2016.</w:t>
      </w:r>
    </w:p>
    <w:p w14:paraId="03B6007E" w14:textId="3B06A560" w:rsidR="005C0353" w:rsidRPr="00AB5E32" w:rsidRDefault="005C0353" w:rsidP="005C0353">
      <w:pPr>
        <w:pStyle w:val="Reference"/>
        <w:rPr>
          <w:szCs w:val="22"/>
        </w:rPr>
      </w:pPr>
      <w:r w:rsidRPr="00AB5E32">
        <w:rPr>
          <w:szCs w:val="22"/>
        </w:rPr>
        <w:t>R1-167276, "Evaluation criteria for URLLC and mMTC coding schemes", Noki</w:t>
      </w:r>
      <w:r w:rsidR="00F46ED7" w:rsidRPr="00AB5E32">
        <w:rPr>
          <w:szCs w:val="22"/>
        </w:rPr>
        <w:t xml:space="preserve">a, Alcatel-Lucent Shanghai Bell, </w:t>
      </w:r>
      <w:r w:rsidR="00F46ED7" w:rsidRPr="00AB5E32">
        <w:t>RAN1 #86, Gothenburg, Sweden.</w:t>
      </w:r>
    </w:p>
    <w:sectPr w:rsidR="005C0353" w:rsidRPr="00AB5E32" w:rsidSect="00D55085"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3C9AF2" w14:textId="77777777" w:rsidR="0018380F" w:rsidRDefault="0018380F">
      <w:r>
        <w:separator/>
      </w:r>
    </w:p>
  </w:endnote>
  <w:endnote w:type="continuationSeparator" w:id="0">
    <w:p w14:paraId="6DF7955E" w14:textId="77777777" w:rsidR="0018380F" w:rsidRDefault="0018380F">
      <w:r>
        <w:continuationSeparator/>
      </w:r>
    </w:p>
  </w:endnote>
  <w:endnote w:type="continuationNotice" w:id="1">
    <w:p w14:paraId="4016BD6E" w14:textId="77777777" w:rsidR="0018380F" w:rsidRDefault="001838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F7747" w14:textId="18A0AD79" w:rsidR="00916FCC" w:rsidRDefault="00916F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B5E3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B5E3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87623" w14:textId="77777777" w:rsidR="0018380F" w:rsidRDefault="0018380F">
      <w:r>
        <w:separator/>
      </w:r>
    </w:p>
  </w:footnote>
  <w:footnote w:type="continuationSeparator" w:id="0">
    <w:p w14:paraId="649C9983" w14:textId="77777777" w:rsidR="0018380F" w:rsidRDefault="0018380F">
      <w:r>
        <w:continuationSeparator/>
      </w:r>
    </w:p>
  </w:footnote>
  <w:footnote w:type="continuationNotice" w:id="1">
    <w:p w14:paraId="0CB30B03" w14:textId="77777777" w:rsidR="0018380F" w:rsidRDefault="001838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14"/>
  </w:num>
  <w:num w:numId="10">
    <w:abstractNumId w:val="3"/>
  </w:num>
  <w:num w:numId="11">
    <w:abstractNumId w:val="1"/>
  </w:num>
  <w:num w:numId="12">
    <w:abstractNumId w:val="10"/>
  </w:num>
  <w:num w:numId="13">
    <w:abstractNumId w:val="13"/>
  </w:num>
  <w:num w:numId="14">
    <w:abstractNumId w:val="2"/>
  </w:num>
  <w:num w:numId="15">
    <w:abstractNumId w:val="0"/>
  </w:num>
  <w:num w:numId="16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933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3E8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380F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1B7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08D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0F0C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565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AC0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5E81"/>
    <w:rsid w:val="00586023"/>
    <w:rsid w:val="0058638E"/>
    <w:rsid w:val="00586451"/>
    <w:rsid w:val="005868C9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353"/>
    <w:rsid w:val="005C071C"/>
    <w:rsid w:val="005C2555"/>
    <w:rsid w:val="005C2834"/>
    <w:rsid w:val="005C37F3"/>
    <w:rsid w:val="005C42CB"/>
    <w:rsid w:val="005C433B"/>
    <w:rsid w:val="005C61AC"/>
    <w:rsid w:val="005C65B6"/>
    <w:rsid w:val="005C6CB9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AB1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398B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27C"/>
    <w:rsid w:val="00645482"/>
    <w:rsid w:val="00645C2B"/>
    <w:rsid w:val="00645D49"/>
    <w:rsid w:val="0064624E"/>
    <w:rsid w:val="00646703"/>
    <w:rsid w:val="00646E7E"/>
    <w:rsid w:val="00647435"/>
    <w:rsid w:val="006505B9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C9A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214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5AB3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371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6A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721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623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0E71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4945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4C1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46DA"/>
    <w:rsid w:val="00A35160"/>
    <w:rsid w:val="00A35469"/>
    <w:rsid w:val="00A35D03"/>
    <w:rsid w:val="00A36297"/>
    <w:rsid w:val="00A36379"/>
    <w:rsid w:val="00A36EAD"/>
    <w:rsid w:val="00A3755F"/>
    <w:rsid w:val="00A378F1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784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3915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5E32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5EC9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3C63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2A8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3BE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BE6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166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241A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592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0F31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855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333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5BC2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3CB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1550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247F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6ED7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3AFD"/>
    <w:rsid w:val="00F643D1"/>
    <w:rsid w:val="00F64C2B"/>
    <w:rsid w:val="00F64DC0"/>
    <w:rsid w:val="00F651BE"/>
    <w:rsid w:val="00F65E86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1BA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98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2C34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13E346-834B-4948-ACC8-39A66CEFB9CB}">
  <ds:schemaRefs>
    <ds:schemaRef ds:uri="http://schemas.openxmlformats.org/package/2006/metadata/core-properties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79DC0E1-1830-4FE0-A486-11EECAA94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09B2611-17B3-4369-8E1E-2136B8F10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3</TotalTime>
  <Pages>3</Pages>
  <Words>1004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6246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Nayeb Nazar, Shahrokh</cp:lastModifiedBy>
  <cp:revision>4</cp:revision>
  <cp:lastPrinted>2016-09-30T16:42:00Z</cp:lastPrinted>
  <dcterms:created xsi:type="dcterms:W3CDTF">2016-09-30T18:32:00Z</dcterms:created>
  <dcterms:modified xsi:type="dcterms:W3CDTF">2016-09-30T22:37:00Z</dcterms:modified>
  <cp:category/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